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D12" w:rsidRDefault="00E03D12" w:rsidP="00E03D12">
      <w:r>
        <w:rPr>
          <w:noProof/>
        </w:rPr>
        <w:drawing>
          <wp:inline distT="0" distB="0" distL="0" distR="0">
            <wp:extent cx="5934710" cy="836930"/>
            <wp:effectExtent l="0" t="0" r="889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D12" w:rsidRPr="00643782" w:rsidRDefault="00E03D12" w:rsidP="00E03D1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</w:t>
      </w:r>
      <w:r w:rsidRPr="00643782">
        <w:rPr>
          <w:rFonts w:ascii="Times New Roman" w:hAnsi="Times New Roman" w:cs="Times New Roman"/>
          <w:b/>
          <w:sz w:val="24"/>
        </w:rPr>
        <w:t xml:space="preserve">Руководителю </w:t>
      </w:r>
      <w:r>
        <w:rPr>
          <w:rFonts w:ascii="Times New Roman" w:hAnsi="Times New Roman" w:cs="Times New Roman"/>
          <w:b/>
          <w:sz w:val="24"/>
        </w:rPr>
        <w:t xml:space="preserve">– </w:t>
      </w:r>
      <w:r w:rsidRPr="00643782">
        <w:rPr>
          <w:rFonts w:ascii="Times New Roman" w:hAnsi="Times New Roman" w:cs="Times New Roman"/>
          <w:b/>
          <w:sz w:val="24"/>
        </w:rPr>
        <w:t>Экономисту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43782">
        <w:rPr>
          <w:rFonts w:ascii="Times New Roman" w:hAnsi="Times New Roman" w:cs="Times New Roman"/>
          <w:b/>
          <w:sz w:val="24"/>
        </w:rPr>
        <w:t xml:space="preserve">-  Главному бухгалтеру                  </w:t>
      </w:r>
    </w:p>
    <w:p w:rsidR="00E03D12" w:rsidRPr="00AE7FE5" w:rsidRDefault="00E03D12" w:rsidP="00E03D12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iCs/>
          <w:sz w:val="20"/>
          <w:szCs w:val="24"/>
        </w:rPr>
      </w:pPr>
      <w:r w:rsidRPr="00AE7FE5">
        <w:rPr>
          <w:rFonts w:ascii="Times New Roman" w:eastAsia="Times New Roman" w:hAnsi="Times New Roman" w:cs="Times New Roman"/>
          <w:b/>
          <w:iCs/>
          <w:sz w:val="20"/>
          <w:szCs w:val="24"/>
        </w:rPr>
        <w:t>Коммерческое</w:t>
      </w:r>
    </w:p>
    <w:p w:rsidR="00E03D12" w:rsidRDefault="00E03D12" w:rsidP="00E03D12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E7FE5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предложение               </w:t>
      </w:r>
      <w:r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                       </w:t>
      </w:r>
      <w:r w:rsidRPr="00AE7FE5">
        <w:rPr>
          <w:rFonts w:ascii="Times New Roman" w:eastAsia="Times New Roman" w:hAnsi="Times New Roman" w:cs="Times New Roman"/>
          <w:b/>
          <w:i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НО ДПО </w:t>
      </w:r>
      <w:r w:rsidRPr="00AE7FE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Учебный центр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«</w:t>
      </w:r>
      <w:r w:rsidRPr="00AE7FE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Учет в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Г</w:t>
      </w:r>
      <w:r w:rsidRPr="00AE7FE5">
        <w:rPr>
          <w:rFonts w:ascii="Times New Roman" w:eastAsia="Times New Roman" w:hAnsi="Times New Roman" w:cs="Times New Roman"/>
          <w:b/>
          <w:iCs/>
          <w:sz w:val="24"/>
          <w:szCs w:val="24"/>
        </w:rPr>
        <w:t>оссекторе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»</w:t>
      </w:r>
    </w:p>
    <w:p w:rsidR="00E03D12" w:rsidRPr="00AE7FE5" w:rsidRDefault="00E03D12" w:rsidP="00E03D12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iCs/>
          <w:sz w:val="20"/>
          <w:szCs w:val="24"/>
        </w:rPr>
      </w:pPr>
    </w:p>
    <w:p w:rsidR="00E03D12" w:rsidRPr="007678D2" w:rsidRDefault="005C0A80" w:rsidP="00E03D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20 марта</w:t>
      </w:r>
      <w:r w:rsidR="00883AD6">
        <w:rPr>
          <w:rFonts w:ascii="Times New Roman" w:eastAsia="Times New Roman" w:hAnsi="Times New Roman" w:cs="Times New Roman"/>
          <w:b/>
          <w:sz w:val="28"/>
          <w:szCs w:val="24"/>
        </w:rPr>
        <w:t xml:space="preserve"> 2018</w:t>
      </w:r>
      <w:r w:rsidR="00E03D12" w:rsidRPr="00AE7FE5">
        <w:rPr>
          <w:rFonts w:ascii="Times New Roman" w:eastAsia="Times New Roman" w:hAnsi="Times New Roman" w:cs="Times New Roman"/>
          <w:b/>
          <w:sz w:val="28"/>
          <w:szCs w:val="24"/>
        </w:rPr>
        <w:t xml:space="preserve"> г. с 10.00 часов </w:t>
      </w:r>
    </w:p>
    <w:p w:rsidR="00E03D12" w:rsidRPr="007678D2" w:rsidRDefault="00E03D12" w:rsidP="00E03D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E03D12" w:rsidRDefault="00E03D12" w:rsidP="00E03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                      </w:t>
      </w:r>
      <w:r w:rsidRPr="00AE7FE5">
        <w:rPr>
          <w:rFonts w:ascii="Times New Roman" w:eastAsia="Times New Roman" w:hAnsi="Times New Roman" w:cs="Times New Roman"/>
          <w:b/>
          <w:sz w:val="20"/>
          <w:szCs w:val="24"/>
        </w:rPr>
        <w:t xml:space="preserve">в г. ИЖЕВСК по адресу: </w:t>
      </w:r>
      <w:r w:rsidRPr="000349C8">
        <w:rPr>
          <w:rFonts w:ascii="Times New Roman" w:eastAsia="Times New Roman" w:hAnsi="Times New Roman" w:cs="Times New Roman"/>
          <w:b/>
          <w:sz w:val="20"/>
          <w:szCs w:val="24"/>
        </w:rPr>
        <w:t>ул. Бородина,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Pr="000349C8">
        <w:rPr>
          <w:rFonts w:ascii="Times New Roman" w:eastAsia="Times New Roman" w:hAnsi="Times New Roman" w:cs="Times New Roman"/>
          <w:b/>
          <w:sz w:val="20"/>
          <w:szCs w:val="24"/>
        </w:rPr>
        <w:t>21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Pr="000349C8">
        <w:rPr>
          <w:rFonts w:ascii="Times New Roman" w:eastAsia="Times New Roman" w:hAnsi="Times New Roman" w:cs="Times New Roman"/>
          <w:b/>
          <w:sz w:val="20"/>
          <w:szCs w:val="24"/>
        </w:rPr>
        <w:t>Здание Федерации профсоюзов Удмуртии</w:t>
      </w:r>
    </w:p>
    <w:p w:rsidR="00E03D12" w:rsidRPr="00AE7FE5" w:rsidRDefault="00E03D12" w:rsidP="00E03D12">
      <w:pPr>
        <w:spacing w:after="0" w:line="240" w:lineRule="auto"/>
        <w:jc w:val="center"/>
        <w:rPr>
          <w:rFonts w:ascii="Arial Black" w:eastAsia="Times New Roman" w:hAnsi="Arial Black" w:cs="Arial"/>
          <w:b/>
          <w:sz w:val="18"/>
          <w:szCs w:val="18"/>
        </w:rPr>
      </w:pPr>
    </w:p>
    <w:p w:rsidR="00E03D12" w:rsidRDefault="00E03D12" w:rsidP="00E03D12">
      <w:pPr>
        <w:spacing w:after="0"/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 xml:space="preserve">                     </w:t>
      </w:r>
      <w:r w:rsidRPr="00AE7FE5">
        <w:rPr>
          <w:rFonts w:ascii="Tahoma" w:eastAsia="Times New Roman" w:hAnsi="Tahoma" w:cs="Tahoma"/>
          <w:b/>
          <w:bCs/>
          <w:sz w:val="18"/>
          <w:szCs w:val="18"/>
        </w:rPr>
        <w:t>ПРОВОДИТ КОНСУЛЬТАЦИОННЫЙ СЕМИНАР</w:t>
      </w:r>
    </w:p>
    <w:p w:rsidR="00E03D12" w:rsidRPr="00AE7FE5" w:rsidRDefault="00E03D12" w:rsidP="00E03D12">
      <w:pPr>
        <w:spacing w:after="0"/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E03D12" w:rsidRPr="00AE7FE5" w:rsidTr="00E03D12">
        <w:trPr>
          <w:trHeight w:val="686"/>
        </w:trPr>
        <w:tc>
          <w:tcPr>
            <w:tcW w:w="10031" w:type="dxa"/>
            <w:shd w:val="clear" w:color="auto" w:fill="auto"/>
            <w:vAlign w:val="center"/>
          </w:tcPr>
          <w:p w:rsidR="00E03D12" w:rsidRPr="00611BEB" w:rsidRDefault="005C0A80" w:rsidP="005C0A8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C0A8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Особенности составления отчетности за 1 квартал 2018 года,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5C0A8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ведения бухгалтерского учета государственными (муниципальными) учреждениями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5C0A8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 2018 году по федеральным стандартам бухгалтерского учета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5C0A8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для организаций государственного сектора.</w:t>
            </w:r>
          </w:p>
        </w:tc>
      </w:tr>
      <w:tr w:rsidR="00E03D12" w:rsidRPr="00AE7FE5" w:rsidTr="00E03D12">
        <w:trPr>
          <w:trHeight w:val="627"/>
        </w:trPr>
        <w:tc>
          <w:tcPr>
            <w:tcW w:w="10031" w:type="dxa"/>
            <w:shd w:val="clear" w:color="auto" w:fill="auto"/>
            <w:vAlign w:val="center"/>
          </w:tcPr>
          <w:p w:rsidR="00E03D12" w:rsidRPr="00AE7FE5" w:rsidRDefault="003040CA" w:rsidP="003040CA">
            <w:pPr>
              <w:pStyle w:val="a4"/>
              <w:rPr>
                <w:i/>
              </w:rPr>
            </w:pPr>
            <w:r w:rsidRPr="003040CA">
              <w:rPr>
                <w:b/>
                <w:color w:val="000000"/>
              </w:rPr>
              <w:t>Лектор: ПОДКИНА ОКСАНА АНАТОЛЬЕВНА – директор Аудиторской фирмы «Инновация-А»,</w:t>
            </w:r>
            <w:r>
              <w:rPr>
                <w:b/>
                <w:color w:val="000000"/>
              </w:rPr>
              <w:t xml:space="preserve"> </w:t>
            </w:r>
            <w:r w:rsidRPr="003040CA">
              <w:rPr>
                <w:b/>
                <w:color w:val="000000"/>
              </w:rPr>
              <w:t>член Российского Союза Аудиторов, практикующий аудитор.</w:t>
            </w:r>
          </w:p>
        </w:tc>
      </w:tr>
      <w:tr w:rsidR="00E03D12" w:rsidRPr="00AE7FE5" w:rsidTr="00E03D12">
        <w:trPr>
          <w:trHeight w:val="1955"/>
        </w:trPr>
        <w:tc>
          <w:tcPr>
            <w:tcW w:w="10031" w:type="dxa"/>
            <w:shd w:val="clear" w:color="auto" w:fill="auto"/>
          </w:tcPr>
          <w:p w:rsidR="005C0A80" w:rsidRDefault="005C0A80" w:rsidP="005C0A8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5C0A80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1. Особенности сдачи квартальной отчетности в 2018 году.</w:t>
            </w:r>
            <w:r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 xml:space="preserve"> </w:t>
            </w:r>
            <w:r w:rsidRPr="005C0A80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Изменения в порядке заполнения существующих форм отчетности, новые контрольные соотношения и увязки форм отчетности, разъяснения и практические примеры заполнения форм отчетности, отражение в отчетности отдельных операций.</w:t>
            </w:r>
          </w:p>
          <w:p w:rsidR="005C0A80" w:rsidRPr="005C0A80" w:rsidRDefault="005C0A80" w:rsidP="005C0A80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5C0A80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 xml:space="preserve">           </w:t>
            </w:r>
            <w:r w:rsidRPr="005C0A80">
              <w:rPr>
                <w:rFonts w:ascii="Times New Roman" w:eastAsia="Calibri" w:hAnsi="Times New Roman" w:cs="Times New Roman"/>
                <w:szCs w:val="24"/>
                <w:lang w:eastAsia="en-US"/>
              </w:rPr>
              <w:t>Изменения показателей бухгалтерской (бюджетной) отчетности в части:</w:t>
            </w:r>
          </w:p>
          <w:p w:rsidR="005C0A80" w:rsidRPr="005C0A80" w:rsidRDefault="005C0A80" w:rsidP="005C0A80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5C0A80">
              <w:rPr>
                <w:rFonts w:ascii="Times New Roman" w:eastAsia="Calibri" w:hAnsi="Times New Roman" w:cs="Times New Roman"/>
                <w:szCs w:val="24"/>
                <w:lang w:eastAsia="en-US"/>
              </w:rPr>
              <w:t>- поправок, внесенных в КОСГУ,</w:t>
            </w:r>
          </w:p>
          <w:p w:rsidR="005C0A80" w:rsidRPr="005C0A80" w:rsidRDefault="005C0A80" w:rsidP="005C0A80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5C0A80">
              <w:rPr>
                <w:rFonts w:ascii="Times New Roman" w:eastAsia="Calibri" w:hAnsi="Times New Roman" w:cs="Times New Roman"/>
                <w:szCs w:val="24"/>
                <w:lang w:eastAsia="en-US"/>
              </w:rPr>
              <w:t>-введения новых счетов учета,</w:t>
            </w:r>
          </w:p>
          <w:p w:rsidR="005C0A80" w:rsidRPr="005C0A80" w:rsidRDefault="005C0A80" w:rsidP="005C0A8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5C0A80">
              <w:rPr>
                <w:rFonts w:ascii="Times New Roman" w:eastAsia="Calibri" w:hAnsi="Times New Roman" w:cs="Times New Roman"/>
                <w:szCs w:val="24"/>
                <w:lang w:eastAsia="en-US"/>
              </w:rPr>
              <w:t>- вступивших в силу стандартов учета.</w:t>
            </w:r>
            <w:r w:rsidRPr="005C0A80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 xml:space="preserve"> </w:t>
            </w:r>
          </w:p>
          <w:p w:rsidR="005C0A80" w:rsidRPr="005C0A80" w:rsidRDefault="005C0A80" w:rsidP="005C0A8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5C0A80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2.Изменение порядка применения классификации операций сектора государственного управления (КОСГУ) по доходам, расходам, активам и обязательствам в 2018 г. в целях гармонизации с требованиями международных стандартов (СГФ 214, СНС-2008)</w:t>
            </w:r>
          </w:p>
          <w:p w:rsidR="005C0A80" w:rsidRPr="005C0A80" w:rsidRDefault="005C0A80" w:rsidP="005C0A8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5C0A80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 xml:space="preserve">3. Обзор ошибок и проблем при переводе остатков </w:t>
            </w:r>
            <w:proofErr w:type="gramStart"/>
            <w:r w:rsidRPr="005C0A80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в меж</w:t>
            </w:r>
            <w:proofErr w:type="gramEnd"/>
            <w:r w:rsidRPr="005C0A80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 xml:space="preserve"> отчётный период при первом применении стандартов ОГС «Основные средства» (Приказ МФ РФ № 257н от 31.12.2016 г.), «Аренда» (Приказ МФ РФ № 258н от 31.12.2016 г.):</w:t>
            </w:r>
          </w:p>
          <w:p w:rsidR="005C0A80" w:rsidRPr="005C0A80" w:rsidRDefault="005C0A80" w:rsidP="005C0A80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5C0A80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-</w:t>
            </w:r>
            <w:r w:rsidRPr="005C0A80">
              <w:rPr>
                <w:rFonts w:ascii="Times New Roman" w:eastAsia="Calibri" w:hAnsi="Times New Roman" w:cs="Times New Roman"/>
                <w:szCs w:val="24"/>
                <w:lang w:eastAsia="en-US"/>
              </w:rPr>
              <w:t>в части выявления объектов, не соответствующих критериям отнесения к основным средствам согласно стандарта «Основные средства», перевода основных средств между группами, в том числе в группу «Инвестиционная недвижимость», переоценки недвижимости до кадастровой стоимости,</w:t>
            </w:r>
          </w:p>
          <w:p w:rsidR="005C0A80" w:rsidRPr="005C0A80" w:rsidRDefault="005C0A80" w:rsidP="005C0A80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5C0A80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- в части оценки, документального оформления и отражения в учете ПЕРЕВОДА остатков объектов учета аренды </w:t>
            </w:r>
            <w:proofErr w:type="gramStart"/>
            <w:r w:rsidRPr="005C0A80">
              <w:rPr>
                <w:rFonts w:ascii="Times New Roman" w:eastAsia="Calibri" w:hAnsi="Times New Roman" w:cs="Times New Roman"/>
                <w:szCs w:val="24"/>
                <w:lang w:eastAsia="en-US"/>
              </w:rPr>
              <w:t>в меж</w:t>
            </w:r>
            <w:proofErr w:type="gramEnd"/>
            <w:r w:rsidRPr="005C0A80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отчётный период у арендодателя, арендатора в зависимости от типа договора аренды.</w:t>
            </w:r>
          </w:p>
          <w:p w:rsidR="005C0A80" w:rsidRPr="005C0A80" w:rsidRDefault="005C0A80" w:rsidP="005C0A8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5C0A80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4.Основные изменения в учете государственных (муниципальных) учреждений в 2018 году.</w:t>
            </w:r>
          </w:p>
          <w:p w:rsidR="005C0A80" w:rsidRPr="005C0A80" w:rsidRDefault="005C0A80" w:rsidP="005C0A80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5C0A80">
              <w:rPr>
                <w:rFonts w:ascii="Times New Roman" w:eastAsia="Calibri" w:hAnsi="Times New Roman" w:cs="Times New Roman"/>
                <w:szCs w:val="24"/>
                <w:lang w:eastAsia="en-US"/>
              </w:rPr>
              <w:lastRenderedPageBreak/>
              <w:t xml:space="preserve">Изменения в учете основных средств в 2018 году при постановке объектов на учет, при начислении амортизации, при выбытии основных средств, при </w:t>
            </w:r>
            <w:proofErr w:type="spellStart"/>
            <w:r w:rsidRPr="005C0A80">
              <w:rPr>
                <w:rFonts w:ascii="Times New Roman" w:eastAsia="Calibri" w:hAnsi="Times New Roman" w:cs="Times New Roman"/>
                <w:szCs w:val="24"/>
                <w:lang w:eastAsia="en-US"/>
              </w:rPr>
              <w:t>реклассификации</w:t>
            </w:r>
            <w:proofErr w:type="spellEnd"/>
            <w:r w:rsidRPr="005C0A80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объектов основных средств, при переоценке.</w:t>
            </w:r>
          </w:p>
          <w:p w:rsidR="005C0A80" w:rsidRPr="005C0A80" w:rsidRDefault="005C0A80" w:rsidP="005C0A80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5C0A80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Изменения в учете по договорам аренды и безвозмездного пользования, классификация объектов учета аренды исходя из условий пользования имуществом и его содержания, </w:t>
            </w:r>
            <w:proofErr w:type="spellStart"/>
            <w:r w:rsidRPr="005C0A80">
              <w:rPr>
                <w:rFonts w:ascii="Times New Roman" w:eastAsia="Calibri" w:hAnsi="Times New Roman" w:cs="Times New Roman"/>
                <w:szCs w:val="24"/>
                <w:lang w:eastAsia="en-US"/>
              </w:rPr>
              <w:t>реклассификация</w:t>
            </w:r>
            <w:proofErr w:type="spellEnd"/>
            <w:r w:rsidRPr="005C0A80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объектов учета аренды (операционная, финансовая аренда, аренда на льготных условиях), новый порядок отражения в бухгалтерском учете в 2018 году договоров аренды и безвозмездного пользования при первоначальном признании договора, в течении срока действия договора, при досрочном расторжении договора аренды (безвозмездного пользования).</w:t>
            </w:r>
          </w:p>
          <w:p w:rsidR="005C0A80" w:rsidRPr="005C0A80" w:rsidRDefault="005C0A80" w:rsidP="005C0A8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5C0A80">
              <w:rPr>
                <w:rFonts w:ascii="Times New Roman" w:eastAsia="Calibri" w:hAnsi="Times New Roman" w:cs="Times New Roman"/>
                <w:szCs w:val="24"/>
                <w:lang w:eastAsia="en-US"/>
              </w:rPr>
              <w:t>Изменения в учете доходов и расходов, введение дополнительной обязательной детализации</w:t>
            </w:r>
            <w:r w:rsidRPr="005C0A80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.</w:t>
            </w:r>
          </w:p>
          <w:p w:rsidR="005C0A80" w:rsidRPr="005C0A80" w:rsidRDefault="005C0A80" w:rsidP="005C0A8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5C0A80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5. Изменения, внесенные в состав, форму и порядок применения первичных документов в условиях внедрения стандартов учета для организаций государственного сектора.</w:t>
            </w:r>
            <w:r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 xml:space="preserve"> </w:t>
            </w:r>
          </w:p>
          <w:p w:rsidR="005C0A80" w:rsidRPr="005C0A80" w:rsidRDefault="005C0A80" w:rsidP="005C0A8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5C0A80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6. Требования МФ РФ к порядку утверждения, к содержанию учетной политики учреждения для целей бухгалтерского учета в 2018 году. Обязательные изменения Учетной политики на необходимые в 2018 году:</w:t>
            </w:r>
          </w:p>
          <w:p w:rsidR="005C0A80" w:rsidRPr="005C0A80" w:rsidRDefault="005C0A80" w:rsidP="005C0A80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5C0A80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-</w:t>
            </w:r>
            <w:r w:rsidRPr="005C0A80">
              <w:rPr>
                <w:rFonts w:ascii="Times New Roman" w:eastAsia="Calibri" w:hAnsi="Times New Roman" w:cs="Times New Roman"/>
                <w:szCs w:val="24"/>
                <w:lang w:eastAsia="en-US"/>
              </w:rPr>
              <w:t>приведение Рабочего плана счетов в соответствие с изменениями, внесенными в бюджетную Классификацию 2018 года в части КОСГУ по доходам, расходам, новым счетам учета, КВР,</w:t>
            </w:r>
          </w:p>
          <w:p w:rsidR="005C0A80" w:rsidRPr="005C0A80" w:rsidRDefault="005C0A80" w:rsidP="005C0A80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5C0A80">
              <w:rPr>
                <w:rFonts w:ascii="Times New Roman" w:eastAsia="Calibri" w:hAnsi="Times New Roman" w:cs="Times New Roman"/>
                <w:szCs w:val="24"/>
                <w:lang w:eastAsia="en-US"/>
              </w:rPr>
              <w:t>- отражение НОВЫХ особенностей учета основных средств, начисления амортизации, формирования инвентарного объекта, отражения расходов по ремонту согласно стандарта ОГС «Основные средства»,</w:t>
            </w:r>
          </w:p>
          <w:p w:rsidR="005C0A80" w:rsidRPr="005C0A80" w:rsidRDefault="005C0A80" w:rsidP="005C0A80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5C0A80">
              <w:rPr>
                <w:rFonts w:ascii="Times New Roman" w:eastAsia="Calibri" w:hAnsi="Times New Roman" w:cs="Times New Roman"/>
                <w:szCs w:val="24"/>
                <w:lang w:eastAsia="en-US"/>
              </w:rPr>
              <w:t>- выбор и закрепление в Учетной политике способов, методов и особенностей определения справедливой стоимости активов с 2018 г. согласно стандарта ОГС «Концептуальные основы»,</w:t>
            </w:r>
          </w:p>
          <w:p w:rsidR="005C0A80" w:rsidRPr="005C0A80" w:rsidRDefault="005C0A80" w:rsidP="005C0A80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5C0A80">
              <w:rPr>
                <w:rFonts w:ascii="Times New Roman" w:eastAsia="Calibri" w:hAnsi="Times New Roman" w:cs="Times New Roman"/>
                <w:szCs w:val="24"/>
                <w:lang w:eastAsia="en-US"/>
              </w:rPr>
              <w:t>-особенности оценки, документального оформления операций по аренде, безвозмездному пользованию в условиях действия стандарта ОГС «Аренда»,</w:t>
            </w:r>
          </w:p>
          <w:p w:rsidR="005C0A80" w:rsidRPr="005C0A80" w:rsidRDefault="005C0A80" w:rsidP="005C0A80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5C0A80">
              <w:rPr>
                <w:rFonts w:ascii="Times New Roman" w:eastAsia="Calibri" w:hAnsi="Times New Roman" w:cs="Times New Roman"/>
                <w:szCs w:val="24"/>
                <w:lang w:eastAsia="en-US"/>
              </w:rPr>
              <w:t>-особенности проведения инвентаризации в целях составления годовой отчетности, в целях первого применения стандартов ОГС «Основные средства», «Аренда»,</w:t>
            </w:r>
          </w:p>
          <w:p w:rsidR="00E03D12" w:rsidRPr="00AE7FE5" w:rsidRDefault="005C0A80" w:rsidP="005C0A80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5C0A80">
              <w:rPr>
                <w:rFonts w:ascii="Times New Roman" w:eastAsia="Calibri" w:hAnsi="Times New Roman" w:cs="Times New Roman"/>
                <w:szCs w:val="24"/>
                <w:lang w:eastAsia="en-US"/>
              </w:rPr>
              <w:t>-особенности реализации требований стандарта «Обесценение активов».</w:t>
            </w:r>
          </w:p>
        </w:tc>
      </w:tr>
      <w:tr w:rsidR="00E03D12" w:rsidRPr="00AE7FE5" w:rsidTr="00E03D12">
        <w:tc>
          <w:tcPr>
            <w:tcW w:w="10031" w:type="dxa"/>
            <w:shd w:val="clear" w:color="auto" w:fill="auto"/>
          </w:tcPr>
          <w:p w:rsidR="00D468B8" w:rsidRPr="001910D0" w:rsidRDefault="001910D0" w:rsidP="001910D0">
            <w:pPr>
              <w:pStyle w:val="a4"/>
              <w:rPr>
                <w:b/>
                <w:color w:val="000000"/>
              </w:rPr>
            </w:pPr>
            <w:r w:rsidRPr="001910D0">
              <w:rPr>
                <w:b/>
                <w:color w:val="000000"/>
              </w:rPr>
              <w:lastRenderedPageBreak/>
              <w:t>Стоимость участия в семинаре (участие, комплект раздаточных и методических материалов, именной</w:t>
            </w:r>
            <w:r w:rsidR="00883AD6">
              <w:rPr>
                <w:b/>
                <w:color w:val="000000"/>
              </w:rPr>
              <w:t xml:space="preserve"> </w:t>
            </w:r>
            <w:r w:rsidRPr="001910D0">
              <w:rPr>
                <w:b/>
                <w:color w:val="000000"/>
              </w:rPr>
              <w:t>сертификат) - 3000 руб. НДС не облагается. Форма оплаты любая.</w:t>
            </w:r>
          </w:p>
          <w:p w:rsidR="001910D0" w:rsidRPr="001910D0" w:rsidRDefault="001910D0" w:rsidP="001910D0">
            <w:pPr>
              <w:pStyle w:val="a4"/>
              <w:rPr>
                <w:b/>
                <w:color w:val="000000"/>
              </w:rPr>
            </w:pPr>
            <w:r w:rsidRPr="001910D0">
              <w:rPr>
                <w:b/>
                <w:color w:val="000000"/>
              </w:rPr>
              <w:t>Предусмотрены скидки</w:t>
            </w:r>
            <w:r>
              <w:rPr>
                <w:b/>
                <w:color w:val="000000"/>
              </w:rPr>
              <w:t xml:space="preserve"> (предоплата, 2 и более слушателя)</w:t>
            </w:r>
            <w:r w:rsidR="00D468B8">
              <w:rPr>
                <w:b/>
                <w:color w:val="000000"/>
              </w:rPr>
              <w:t xml:space="preserve"> и отсрочка платежа (по гарантийному письму)</w:t>
            </w:r>
          </w:p>
          <w:p w:rsidR="001910D0" w:rsidRPr="001910D0" w:rsidRDefault="001910D0" w:rsidP="001910D0">
            <w:pPr>
              <w:pStyle w:val="a4"/>
              <w:rPr>
                <w:b/>
                <w:color w:val="000000"/>
              </w:rPr>
            </w:pPr>
            <w:r w:rsidRPr="001910D0">
              <w:rPr>
                <w:b/>
                <w:color w:val="000000"/>
              </w:rPr>
              <w:t>Участие в семинаре входит в программу повышения квалификации экономиста, главного бухгалтера,</w:t>
            </w:r>
            <w:r w:rsidR="00883AD6">
              <w:rPr>
                <w:b/>
                <w:color w:val="000000"/>
              </w:rPr>
              <w:t xml:space="preserve"> </w:t>
            </w:r>
            <w:r w:rsidRPr="001910D0">
              <w:rPr>
                <w:b/>
                <w:color w:val="000000"/>
              </w:rPr>
              <w:t>бухгалтера государственного (муниципального) учреждения.</w:t>
            </w:r>
          </w:p>
          <w:p w:rsidR="001910D0" w:rsidRPr="001910D0" w:rsidRDefault="001910D0" w:rsidP="001910D0">
            <w:pPr>
              <w:pStyle w:val="a4"/>
              <w:rPr>
                <w:b/>
                <w:color w:val="000000"/>
              </w:rPr>
            </w:pPr>
            <w:r w:rsidRPr="001910D0">
              <w:rPr>
                <w:b/>
                <w:color w:val="000000"/>
              </w:rPr>
              <w:t>Справки по телеф</w:t>
            </w:r>
            <w:r>
              <w:rPr>
                <w:b/>
                <w:color w:val="000000"/>
              </w:rPr>
              <w:t>онам:8 (3412) 971-201, 971-207.</w:t>
            </w:r>
          </w:p>
          <w:p w:rsidR="00E03D12" w:rsidRPr="009C4743" w:rsidRDefault="001910D0" w:rsidP="003C17F8">
            <w:pPr>
              <w:pStyle w:val="a4"/>
              <w:rPr>
                <w:b/>
                <w:sz w:val="18"/>
                <w:szCs w:val="18"/>
              </w:rPr>
            </w:pPr>
            <w:r w:rsidRPr="001910D0">
              <w:rPr>
                <w:b/>
                <w:color w:val="000000"/>
              </w:rPr>
              <w:t>Форму заявки Вы можете заказать по адресу e-</w:t>
            </w:r>
            <w:proofErr w:type="spellStart"/>
            <w:r w:rsidRPr="001910D0">
              <w:rPr>
                <w:b/>
                <w:color w:val="000000"/>
              </w:rPr>
              <w:t>mail</w:t>
            </w:r>
            <w:proofErr w:type="spellEnd"/>
            <w:r w:rsidRPr="001910D0">
              <w:rPr>
                <w:b/>
                <w:color w:val="000000"/>
              </w:rPr>
              <w:t xml:space="preserve">: gosbu@mail.ru </w:t>
            </w:r>
          </w:p>
        </w:tc>
      </w:tr>
    </w:tbl>
    <w:p w:rsidR="00E03D12" w:rsidRPr="00AE7FE5" w:rsidRDefault="00E03D12" w:rsidP="00E03D12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14"/>
          <w:szCs w:val="14"/>
        </w:rPr>
      </w:pPr>
      <w:r w:rsidRPr="00AE7FE5">
        <w:rPr>
          <w:rFonts w:ascii="Arial" w:eastAsia="Times New Roman" w:hAnsi="Arial" w:cs="Arial"/>
          <w:b/>
          <w:iCs/>
          <w:sz w:val="14"/>
          <w:szCs w:val="14"/>
        </w:rPr>
        <w:softHyphen/>
      </w:r>
      <w:r w:rsidRPr="00AE7FE5">
        <w:rPr>
          <w:rFonts w:ascii="Arial" w:eastAsia="Times New Roman" w:hAnsi="Arial" w:cs="Arial"/>
          <w:b/>
          <w:iCs/>
          <w:sz w:val="14"/>
          <w:szCs w:val="14"/>
        </w:rPr>
        <w:softHyphen/>
      </w:r>
      <w:r w:rsidRPr="00AE7FE5">
        <w:rPr>
          <w:rFonts w:ascii="Arial" w:eastAsia="Times New Roman" w:hAnsi="Arial" w:cs="Arial"/>
          <w:b/>
          <w:iCs/>
          <w:sz w:val="14"/>
          <w:szCs w:val="14"/>
        </w:rPr>
        <w:softHyphen/>
      </w:r>
      <w:r w:rsidRPr="00AE7FE5">
        <w:rPr>
          <w:rFonts w:ascii="Arial" w:eastAsia="Times New Roman" w:hAnsi="Arial" w:cs="Arial"/>
          <w:b/>
          <w:iCs/>
          <w:sz w:val="14"/>
          <w:szCs w:val="14"/>
        </w:rPr>
        <w:softHyphen/>
      </w:r>
      <w:r w:rsidRPr="00AE7FE5">
        <w:rPr>
          <w:rFonts w:ascii="Arial" w:eastAsia="Times New Roman" w:hAnsi="Arial" w:cs="Arial"/>
          <w:b/>
          <w:iCs/>
          <w:sz w:val="14"/>
          <w:szCs w:val="14"/>
        </w:rPr>
        <w:softHyphen/>
      </w:r>
      <w:r w:rsidRPr="00AE7FE5">
        <w:rPr>
          <w:rFonts w:ascii="Arial" w:eastAsia="Times New Roman" w:hAnsi="Arial" w:cs="Arial"/>
          <w:b/>
          <w:iCs/>
          <w:sz w:val="14"/>
          <w:szCs w:val="14"/>
        </w:rPr>
        <w:softHyphen/>
      </w:r>
      <w:r w:rsidRPr="00AE7FE5">
        <w:rPr>
          <w:rFonts w:ascii="Arial" w:eastAsia="Times New Roman" w:hAnsi="Arial" w:cs="Arial"/>
          <w:b/>
          <w:iCs/>
          <w:sz w:val="14"/>
          <w:szCs w:val="14"/>
        </w:rPr>
        <w:softHyphen/>
      </w:r>
      <w:r w:rsidRPr="00AE7FE5">
        <w:rPr>
          <w:rFonts w:ascii="Arial" w:eastAsia="Times New Roman" w:hAnsi="Arial" w:cs="Arial"/>
          <w:b/>
          <w:iCs/>
          <w:sz w:val="14"/>
          <w:szCs w:val="14"/>
        </w:rPr>
        <w:softHyphen/>
      </w:r>
      <w:r w:rsidRPr="00AE7FE5">
        <w:rPr>
          <w:rFonts w:ascii="Arial" w:eastAsia="Times New Roman" w:hAnsi="Arial" w:cs="Arial"/>
          <w:b/>
          <w:iCs/>
          <w:sz w:val="14"/>
          <w:szCs w:val="14"/>
        </w:rPr>
        <w:softHyphen/>
      </w:r>
      <w:r w:rsidRPr="00AE7FE5">
        <w:rPr>
          <w:rFonts w:ascii="Arial" w:eastAsia="Times New Roman" w:hAnsi="Arial" w:cs="Arial"/>
          <w:b/>
          <w:iCs/>
          <w:sz w:val="14"/>
          <w:szCs w:val="14"/>
        </w:rPr>
        <w:softHyphen/>
      </w:r>
      <w:r w:rsidRPr="00AE7FE5">
        <w:rPr>
          <w:rFonts w:ascii="Arial" w:eastAsia="Times New Roman" w:hAnsi="Arial" w:cs="Arial"/>
          <w:b/>
          <w:iCs/>
          <w:sz w:val="14"/>
          <w:szCs w:val="14"/>
        </w:rPr>
        <w:softHyphen/>
      </w:r>
      <w:r w:rsidRPr="00AE7FE5">
        <w:rPr>
          <w:rFonts w:ascii="Arial" w:eastAsia="Times New Roman" w:hAnsi="Arial" w:cs="Arial"/>
          <w:b/>
          <w:iCs/>
          <w:sz w:val="14"/>
          <w:szCs w:val="14"/>
        </w:rPr>
        <w:softHyphen/>
      </w:r>
      <w:r w:rsidRPr="00AE7FE5">
        <w:rPr>
          <w:rFonts w:ascii="Arial" w:eastAsia="Times New Roman" w:hAnsi="Arial" w:cs="Arial"/>
          <w:b/>
          <w:iCs/>
          <w:sz w:val="14"/>
          <w:szCs w:val="14"/>
        </w:rPr>
        <w:softHyphen/>
      </w:r>
      <w:r w:rsidRPr="00AE7FE5">
        <w:rPr>
          <w:rFonts w:ascii="Arial" w:eastAsia="Times New Roman" w:hAnsi="Arial" w:cs="Arial"/>
          <w:b/>
          <w:iCs/>
          <w:sz w:val="14"/>
          <w:szCs w:val="14"/>
        </w:rPr>
        <w:softHyphen/>
      </w:r>
      <w:r w:rsidRPr="00AE7FE5">
        <w:rPr>
          <w:rFonts w:ascii="Arial" w:eastAsia="Times New Roman" w:hAnsi="Arial" w:cs="Arial"/>
          <w:b/>
          <w:iCs/>
          <w:sz w:val="14"/>
          <w:szCs w:val="14"/>
        </w:rPr>
        <w:softHyphen/>
      </w:r>
      <w:r w:rsidRPr="00AE7FE5">
        <w:rPr>
          <w:rFonts w:ascii="Arial" w:eastAsia="Times New Roman" w:hAnsi="Arial" w:cs="Arial"/>
          <w:b/>
          <w:iCs/>
          <w:sz w:val="14"/>
          <w:szCs w:val="14"/>
        </w:rPr>
        <w:softHyphen/>
      </w:r>
      <w:r w:rsidRPr="00AE7FE5">
        <w:rPr>
          <w:rFonts w:ascii="Arial" w:eastAsia="Times New Roman" w:hAnsi="Arial" w:cs="Arial"/>
          <w:b/>
          <w:iCs/>
          <w:sz w:val="14"/>
          <w:szCs w:val="14"/>
        </w:rPr>
        <w:softHyphen/>
      </w:r>
      <w:r w:rsidRPr="00AE7FE5">
        <w:rPr>
          <w:rFonts w:ascii="Arial" w:eastAsia="Times New Roman" w:hAnsi="Arial" w:cs="Arial"/>
          <w:b/>
          <w:iCs/>
          <w:sz w:val="14"/>
          <w:szCs w:val="14"/>
        </w:rPr>
        <w:softHyphen/>
      </w:r>
      <w:r w:rsidRPr="00AE7FE5">
        <w:rPr>
          <w:rFonts w:ascii="Arial" w:eastAsia="Times New Roman" w:hAnsi="Arial" w:cs="Arial"/>
          <w:b/>
          <w:iCs/>
          <w:sz w:val="14"/>
          <w:szCs w:val="14"/>
        </w:rPr>
        <w:softHyphen/>
      </w:r>
      <w:r w:rsidRPr="00AE7FE5">
        <w:rPr>
          <w:rFonts w:ascii="Arial" w:eastAsia="Times New Roman" w:hAnsi="Arial" w:cs="Arial"/>
          <w:b/>
          <w:iCs/>
          <w:sz w:val="14"/>
          <w:szCs w:val="14"/>
        </w:rPr>
        <w:softHyphen/>
      </w:r>
      <w:r w:rsidRPr="00AE7FE5">
        <w:rPr>
          <w:rFonts w:ascii="Arial" w:eastAsia="Times New Roman" w:hAnsi="Arial" w:cs="Arial"/>
          <w:b/>
          <w:iCs/>
          <w:sz w:val="14"/>
          <w:szCs w:val="14"/>
        </w:rPr>
        <w:softHyphen/>
      </w:r>
      <w:r w:rsidRPr="00AE7FE5">
        <w:rPr>
          <w:rFonts w:ascii="Arial" w:eastAsia="Times New Roman" w:hAnsi="Arial" w:cs="Arial"/>
          <w:b/>
          <w:iCs/>
          <w:sz w:val="14"/>
          <w:szCs w:val="14"/>
        </w:rPr>
        <w:softHyphen/>
      </w:r>
    </w:p>
    <w:p w:rsidR="00E03D12" w:rsidRPr="00AE7FE5" w:rsidRDefault="00E03D12" w:rsidP="00E03D12">
      <w:pPr>
        <w:tabs>
          <w:tab w:val="left" w:pos="0"/>
          <w:tab w:val="left" w:pos="180"/>
        </w:tabs>
        <w:spacing w:after="0" w:line="360" w:lineRule="auto"/>
        <w:jc w:val="center"/>
        <w:rPr>
          <w:rFonts w:ascii="Arial" w:eastAsia="Times New Roman" w:hAnsi="Arial" w:cs="Arial"/>
          <w:b/>
          <w:i/>
          <w:iCs/>
          <w:sz w:val="16"/>
          <w:szCs w:val="16"/>
        </w:rPr>
      </w:pPr>
    </w:p>
    <w:p w:rsidR="00E03D12" w:rsidRDefault="00E03D12" w:rsidP="00E03D12">
      <w:pPr>
        <w:tabs>
          <w:tab w:val="left" w:pos="0"/>
          <w:tab w:val="left" w:pos="180"/>
        </w:tabs>
        <w:spacing w:after="0" w:line="36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1910D0">
        <w:rPr>
          <w:rFonts w:ascii="Arial" w:eastAsia="Times New Roman" w:hAnsi="Arial" w:cs="Arial"/>
          <w:b/>
          <w:i/>
          <w:iCs/>
          <w:sz w:val="20"/>
          <w:szCs w:val="20"/>
        </w:rPr>
        <w:t>Лицензия на осуществление образовательной деятельности серия №1813 от                  10 марта 2017 г.  выдана Министерством образования и науки УР</w:t>
      </w:r>
    </w:p>
    <w:p w:rsidR="0011210F" w:rsidRPr="001910D0" w:rsidRDefault="0011210F" w:rsidP="00E03D12">
      <w:pPr>
        <w:tabs>
          <w:tab w:val="left" w:pos="0"/>
          <w:tab w:val="left" w:pos="180"/>
        </w:tabs>
        <w:spacing w:after="0" w:line="360" w:lineRule="auto"/>
        <w:jc w:val="center"/>
        <w:rPr>
          <w:sz w:val="20"/>
          <w:szCs w:val="20"/>
        </w:rPr>
      </w:pPr>
      <w:bookmarkStart w:id="0" w:name="_GoBack"/>
      <w:bookmarkEnd w:id="0"/>
    </w:p>
    <w:p w:rsidR="0011210F" w:rsidRPr="007D776D" w:rsidRDefault="0011210F" w:rsidP="00112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7D776D">
        <w:rPr>
          <w:rFonts w:ascii="Times New Roman" w:hAnsi="Times New Roman" w:cs="Times New Roman"/>
          <w:b/>
          <w:sz w:val="24"/>
        </w:rPr>
        <w:t>ЗАПИСАТЬСЯ</w:t>
      </w:r>
    </w:p>
    <w:p w:rsidR="00CD1986" w:rsidRDefault="00CD1986"/>
    <w:sectPr w:rsidR="00CD1986" w:rsidSect="00E0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12"/>
    <w:rsid w:val="00006636"/>
    <w:rsid w:val="00085F65"/>
    <w:rsid w:val="0011210F"/>
    <w:rsid w:val="001910D0"/>
    <w:rsid w:val="003040CA"/>
    <w:rsid w:val="003C17F8"/>
    <w:rsid w:val="004373F9"/>
    <w:rsid w:val="00577B3B"/>
    <w:rsid w:val="005C0A80"/>
    <w:rsid w:val="00883AD6"/>
    <w:rsid w:val="009B6E52"/>
    <w:rsid w:val="00A92350"/>
    <w:rsid w:val="00CD1986"/>
    <w:rsid w:val="00CF41DB"/>
    <w:rsid w:val="00D32298"/>
    <w:rsid w:val="00D468B8"/>
    <w:rsid w:val="00D51568"/>
    <w:rsid w:val="00E03D12"/>
    <w:rsid w:val="00E7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EDA6"/>
  <w15:docId w15:val="{D3152127-7149-4146-8C21-34994918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2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D12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E0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E03D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0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D1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C0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Подкина</dc:creator>
  <cp:lastModifiedBy>Оксана Подкина</cp:lastModifiedBy>
  <cp:revision>4</cp:revision>
  <dcterms:created xsi:type="dcterms:W3CDTF">2018-01-21T17:23:00Z</dcterms:created>
  <dcterms:modified xsi:type="dcterms:W3CDTF">2018-01-22T16:46:00Z</dcterms:modified>
</cp:coreProperties>
</file>