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5B" w:rsidRDefault="0074525B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424815</wp:posOffset>
            </wp:positionV>
            <wp:extent cx="5934075" cy="836295"/>
            <wp:effectExtent l="0" t="0" r="952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DA5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C7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СТРУКТУРА ДОКУМЕНТА</w:t>
      </w:r>
    </w:p>
    <w:p w:rsidR="00521DA5" w:rsidRPr="00F57348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«Шаблон учетной политики БЮДЖЕТНОГО учреждения на 20</w:t>
      </w:r>
      <w:r w:rsidR="006C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122"/>
        <w:gridCol w:w="9226"/>
      </w:tblGrid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бухгалтерского учета на 20</w:t>
            </w:r>
            <w:r w:rsidR="006C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налогового учета на 20</w:t>
            </w:r>
            <w:r w:rsidR="006C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:rsidTr="009A21F5">
        <w:trPr>
          <w:trHeight w:val="517"/>
        </w:trPr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«Рабочий план счетов бухгалтерского учета».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«Дополнительно введенные забалансовые счета».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«Перечень учетных (бухгалтерских) регистров».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«Порядок хранения документации и организации архива».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«График документооборота».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«Первичные (сводные) учетные документы, применяемые для оформления хозяйственных операций, по которым законодательством Российской Федерации не установлены обязательные формы документов».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«Первичные (сводные) учетные документы с добавлением дополнительных реквизитов».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«Порядок организации и осуществления внутреннего финансового контроля».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 «Дополнительные корреспонденции счетов бухгалтерского учета».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Методики оценки сумм резерва и форма расчета сумм резерва предстоящих расходов»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 «Перечень должностных лиц, имеющих право подписи доверенностей на получение товарно-материальных ценностей».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«Таблица расчет распределения накладных расходов».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«Таблица расчет распределения общехозяйственных расходов».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 «</w:t>
            </w:r>
            <w:r w:rsidRPr="003F4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служебных командировках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Порядок выдачи наличных денежных средств под отчет и представления отчетности подотчетными лицами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6" w:type="dxa"/>
          </w:tcPr>
          <w:p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 «Порядок проведения претензионной работы».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6" w:type="dxa"/>
          </w:tcPr>
          <w:p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 «Порядок списания задолженности, не востребованной кредиторами».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 «Перечень документов, подтверждающих принятие обязательств по основным хозяйственным операциям учреждения».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 «Перечень материальных ценностей, учитываемых</w:t>
            </w:r>
            <w:r w:rsidR="00D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забалансовом счете 09 "Запасные части к транспортным средствам, выданные взамен изношенных".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20 «Перечень первичных учетных документов, которые составляются в виде электронного документа, подписанного электронной подписью».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21 «Перечень регистров бухгалтерского учета, которые составляются в виде электронного документа, подписанного электронной подписью».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22 «Мероприятия по обеспечению сохранности наличных денег при ведении кассовых операций, хранении, транспортировке».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23 «Порядок расчета лимита остатка денежных средств в кассе».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24 «Порядок хранения учетных данных в цифровой (электронной) форме»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Приложение № 25 «Р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учета, формы которых не унифицированы»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26 «Перечень должностных лиц, работа которых имеет разъездной характер, обеспечиваемых ежемесячно проездными документами».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27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лиц, имеющих право получать бланки строгой отчетности»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28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приемке, хранении, выдаче (списании) бланков строгой отчетности».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29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 и суммы утвержденных лимитов по мобильной связи».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30 «Таблица расчет распределения расходов, относящихся одновременно к нескольким видам деятельности»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31 «Формы первичных документов применяемых для оформления фактов хозяйственной жизни».</w:t>
            </w:r>
          </w:p>
        </w:tc>
      </w:tr>
      <w:tr w:rsidR="00521DA5" w:rsidTr="009A21F5">
        <w:tc>
          <w:tcPr>
            <w:tcW w:w="1122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32 «Порядок перевода первичных учетных документов, составленные на иных языках, на русский язык».</w:t>
            </w:r>
          </w:p>
        </w:tc>
      </w:tr>
      <w:tr w:rsidR="00D6112A" w:rsidTr="009A21F5">
        <w:tc>
          <w:tcPr>
            <w:tcW w:w="1122" w:type="dxa"/>
          </w:tcPr>
          <w:p w:rsidR="00D6112A" w:rsidRPr="00517855" w:rsidRDefault="00D6112A" w:rsidP="00D611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226" w:type="dxa"/>
          </w:tcPr>
          <w:p w:rsidR="00D6112A" w:rsidRPr="00517855" w:rsidRDefault="00D6112A" w:rsidP="00D6112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7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33 «ПОРЯДОК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учете»</w:t>
            </w:r>
          </w:p>
        </w:tc>
      </w:tr>
      <w:tr w:rsidR="006C367B" w:rsidTr="006C367B">
        <w:trPr>
          <w:trHeight w:val="104"/>
        </w:trPr>
        <w:tc>
          <w:tcPr>
            <w:tcW w:w="1122" w:type="dxa"/>
          </w:tcPr>
          <w:p w:rsidR="006C367B" w:rsidRPr="00517855" w:rsidRDefault="006C367B" w:rsidP="006C36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226" w:type="dxa"/>
          </w:tcPr>
          <w:p w:rsidR="006C367B" w:rsidRPr="00517855" w:rsidRDefault="006C367B" w:rsidP="006C367B">
            <w:pPr>
              <w:rPr>
                <w:rFonts w:ascii="Times New Roman" w:hAnsi="Times New Roman" w:cs="Times New Roman"/>
                <w:sz w:val="24"/>
              </w:rPr>
            </w:pPr>
            <w:r w:rsidRPr="00517855">
              <w:rPr>
                <w:rFonts w:ascii="Times New Roman" w:hAnsi="Times New Roman" w:cs="Times New Roman"/>
                <w:sz w:val="24"/>
              </w:rPr>
              <w:t>Приложение 34 «Порядок проведения инвентаризации активов и обязательств»</w:t>
            </w:r>
          </w:p>
        </w:tc>
      </w:tr>
      <w:tr w:rsidR="006C367B" w:rsidTr="006C367B">
        <w:trPr>
          <w:trHeight w:val="103"/>
        </w:trPr>
        <w:tc>
          <w:tcPr>
            <w:tcW w:w="1122" w:type="dxa"/>
          </w:tcPr>
          <w:p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6" w:type="dxa"/>
          </w:tcPr>
          <w:p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35 «Порядок передачи доку</w:t>
            </w:r>
            <w:bookmarkStart w:id="0" w:name="_GoBack"/>
            <w:bookmarkEnd w:id="0"/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ментов бухгалтерского учета при смене </w:t>
            </w:r>
          </w:p>
          <w:p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учреждения и (или) главного бухгалтера» </w:t>
            </w:r>
          </w:p>
        </w:tc>
      </w:tr>
      <w:tr w:rsidR="006C367B" w:rsidTr="006C367B">
        <w:trPr>
          <w:trHeight w:val="103"/>
        </w:trPr>
        <w:tc>
          <w:tcPr>
            <w:tcW w:w="1122" w:type="dxa"/>
          </w:tcPr>
          <w:p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6" w:type="dxa"/>
          </w:tcPr>
          <w:p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36 «Инвентарь производственный и хозяйственный»</w:t>
            </w:r>
          </w:p>
        </w:tc>
      </w:tr>
      <w:tr w:rsidR="006C367B" w:rsidTr="006C367B">
        <w:trPr>
          <w:trHeight w:val="103"/>
        </w:trPr>
        <w:tc>
          <w:tcPr>
            <w:tcW w:w="1122" w:type="dxa"/>
          </w:tcPr>
          <w:p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6" w:type="dxa"/>
          </w:tcPr>
          <w:p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37 «Порядок применения подстатей КОСГУ к статьям КОСГУ 340 «Увеличение стоимости материальных запасов», 440 "Уменьшение стоимости материальных запасов» для целей бухгалтерского учета»</w:t>
            </w:r>
          </w:p>
        </w:tc>
      </w:tr>
      <w:tr w:rsidR="006C367B" w:rsidTr="006C367B">
        <w:trPr>
          <w:trHeight w:val="103"/>
        </w:trPr>
        <w:tc>
          <w:tcPr>
            <w:tcW w:w="1122" w:type="dxa"/>
          </w:tcPr>
          <w:p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6" w:type="dxa"/>
          </w:tcPr>
          <w:p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бухгалтерии учреждения</w:t>
            </w:r>
          </w:p>
        </w:tc>
      </w:tr>
      <w:tr w:rsidR="006C367B" w:rsidTr="009A21F5">
        <w:tc>
          <w:tcPr>
            <w:tcW w:w="1122" w:type="dxa"/>
          </w:tcPr>
          <w:p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26" w:type="dxa"/>
          </w:tcPr>
          <w:p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комиссии по поступлению и выбытию активов</w:t>
            </w:r>
          </w:p>
        </w:tc>
      </w:tr>
    </w:tbl>
    <w:p w:rsidR="00124233" w:rsidRDefault="00124233"/>
    <w:sectPr w:rsidR="00124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F21" w:rsidRDefault="009C3F21" w:rsidP="00C80149">
      <w:pPr>
        <w:spacing w:after="0" w:line="240" w:lineRule="auto"/>
      </w:pPr>
      <w:r>
        <w:separator/>
      </w:r>
    </w:p>
  </w:endnote>
  <w:endnote w:type="continuationSeparator" w:id="0">
    <w:p w:rsidR="009C3F21" w:rsidRDefault="009C3F21" w:rsidP="00C8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F21" w:rsidRDefault="009C3F21" w:rsidP="00C80149">
      <w:pPr>
        <w:spacing w:after="0" w:line="240" w:lineRule="auto"/>
      </w:pPr>
      <w:r>
        <w:separator/>
      </w:r>
    </w:p>
  </w:footnote>
  <w:footnote w:type="continuationSeparator" w:id="0">
    <w:p w:rsidR="009C3F21" w:rsidRDefault="009C3F21" w:rsidP="00C8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A5"/>
    <w:rsid w:val="00124233"/>
    <w:rsid w:val="002452B8"/>
    <w:rsid w:val="00350DCF"/>
    <w:rsid w:val="0043323D"/>
    <w:rsid w:val="00521DA5"/>
    <w:rsid w:val="006C367B"/>
    <w:rsid w:val="0074525B"/>
    <w:rsid w:val="009C3F21"/>
    <w:rsid w:val="00C80149"/>
    <w:rsid w:val="00D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1EE0"/>
  <w15:chartTrackingRefBased/>
  <w15:docId w15:val="{6B13C8D1-856B-416A-AF7F-248D1A30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149"/>
  </w:style>
  <w:style w:type="paragraph" w:styleId="a6">
    <w:name w:val="footer"/>
    <w:basedOn w:val="a"/>
    <w:link w:val="a7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Оксана</cp:lastModifiedBy>
  <cp:revision>6</cp:revision>
  <dcterms:created xsi:type="dcterms:W3CDTF">2018-01-21T13:50:00Z</dcterms:created>
  <dcterms:modified xsi:type="dcterms:W3CDTF">2020-03-25T04:12:00Z</dcterms:modified>
</cp:coreProperties>
</file>